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5B" w:rsidRDefault="00CE3F5A" w:rsidP="00B34C23">
      <w:bookmarkStart w:id="0" w:name="_GoBack"/>
      <w:bookmarkEnd w:id="0"/>
      <w:r>
        <w:tab/>
      </w: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B34C23">
      <w:pPr>
        <w:spacing w:line="480" w:lineRule="auto"/>
        <w:ind w:left="634" w:hanging="634"/>
        <w:jc w:val="center"/>
      </w:pPr>
      <w:r>
        <w:t>Title of Paper</w:t>
      </w:r>
      <w:r w:rsidR="00574CBA">
        <w:t xml:space="preserve"> is Centered in the Top Half of the Title Page</w:t>
      </w:r>
      <w:r w:rsidR="002A152D">
        <w:t xml:space="preserve"> </w:t>
      </w:r>
    </w:p>
    <w:p w:rsidR="00B34C23" w:rsidRDefault="00B34C23" w:rsidP="00B34C23">
      <w:pPr>
        <w:spacing w:line="480" w:lineRule="auto"/>
        <w:ind w:left="634" w:hanging="634"/>
        <w:jc w:val="center"/>
      </w:pPr>
      <w:r>
        <w:t>Your Name</w:t>
      </w:r>
    </w:p>
    <w:p w:rsidR="00B34C23" w:rsidRDefault="00B34C23" w:rsidP="00B34C23">
      <w:pPr>
        <w:spacing w:line="480" w:lineRule="auto"/>
        <w:ind w:left="634" w:hanging="634"/>
        <w:jc w:val="center"/>
      </w:pPr>
      <w:r>
        <w:t>Blessing-Rieman College of Nursing</w:t>
      </w:r>
      <w:r w:rsidR="00A16313">
        <w:t xml:space="preserve"> &amp; Health Sciences</w:t>
      </w:r>
    </w:p>
    <w:p w:rsidR="00B34C23" w:rsidRDefault="00B34C23" w:rsidP="00B34C23">
      <w:pPr>
        <w:ind w:left="630" w:hanging="630"/>
        <w:jc w:val="center"/>
      </w:pPr>
    </w:p>
    <w:p w:rsidR="00574CBA" w:rsidRDefault="00B34C23" w:rsidP="00574CBA">
      <w:pPr>
        <w:jc w:val="center"/>
      </w:pPr>
      <w:r>
        <w:br w:type="page"/>
      </w:r>
      <w:r w:rsidR="00574CBA">
        <w:lastRenderedPageBreak/>
        <w:t>Abstract</w:t>
      </w:r>
    </w:p>
    <w:p w:rsidR="00574CBA" w:rsidRDefault="00574CBA" w:rsidP="007127A1">
      <w:pPr>
        <w:spacing w:line="480" w:lineRule="auto"/>
        <w:ind w:left="630" w:hanging="630"/>
        <w:jc w:val="center"/>
      </w:pPr>
    </w:p>
    <w:p w:rsidR="00574CBA" w:rsidRDefault="00574CBA" w:rsidP="00574CBA">
      <w:pPr>
        <w:spacing w:line="480" w:lineRule="auto"/>
      </w:pPr>
      <w:r>
        <w:t>If required for your paper, an abstract is a brief paragraph with no indentations. It is placed after the title page. Begin your paper on a new page.</w:t>
      </w:r>
    </w:p>
    <w:p w:rsidR="007127A1" w:rsidRDefault="00574CBA" w:rsidP="007127A1">
      <w:pPr>
        <w:spacing w:line="480" w:lineRule="auto"/>
        <w:ind w:left="630" w:hanging="630"/>
        <w:jc w:val="center"/>
      </w:pPr>
      <w:r>
        <w:br w:type="page"/>
      </w:r>
      <w:r w:rsidR="00D47990">
        <w:lastRenderedPageBreak/>
        <w:t>T</w:t>
      </w:r>
      <w:r w:rsidR="007127A1">
        <w:t xml:space="preserve">itle of Paper </w:t>
      </w:r>
    </w:p>
    <w:p w:rsidR="007127A1" w:rsidRDefault="007127A1" w:rsidP="007127A1">
      <w:pPr>
        <w:spacing w:line="480" w:lineRule="auto"/>
        <w:ind w:left="634" w:hanging="634"/>
      </w:pPr>
      <w:r>
        <w:tab/>
      </w:r>
      <w:r w:rsidR="00AA1763">
        <w:t xml:space="preserve">Indent all paragraphs. Do not label </w:t>
      </w:r>
      <w:r w:rsidR="00574CBA">
        <w:t xml:space="preserve">an </w:t>
      </w:r>
      <w:r w:rsidR="00AA1763">
        <w:t>introduction.</w:t>
      </w:r>
    </w:p>
    <w:p w:rsidR="007127A1" w:rsidRDefault="00AA1763" w:rsidP="007127A1">
      <w:pPr>
        <w:spacing w:line="480" w:lineRule="auto"/>
        <w:ind w:left="634" w:hanging="634"/>
      </w:pPr>
      <w:r>
        <w:t>Citing in paper</w:t>
      </w:r>
      <w:r w:rsidR="007127A1">
        <w:t xml:space="preserve"> (</w:t>
      </w:r>
      <w:r>
        <w:t>Baxter, 1997</w:t>
      </w:r>
      <w:r w:rsidR="007127A1">
        <w:t>).</w:t>
      </w:r>
    </w:p>
    <w:p w:rsidR="007127A1" w:rsidRDefault="007127A1" w:rsidP="007127A1">
      <w:pPr>
        <w:spacing w:line="480" w:lineRule="auto"/>
        <w:ind w:left="634" w:hanging="634"/>
      </w:pPr>
      <w:r>
        <w:t xml:space="preserve">Headings: For two levels, use 1 &amp; </w:t>
      </w:r>
      <w:r w:rsidR="00AB2BF0">
        <w:t>2</w:t>
      </w:r>
    </w:p>
    <w:p w:rsidR="007127A1" w:rsidRPr="00D60F11" w:rsidRDefault="007127A1" w:rsidP="007127A1">
      <w:pPr>
        <w:spacing w:line="480" w:lineRule="auto"/>
        <w:ind w:left="634" w:hanging="634"/>
        <w:jc w:val="center"/>
        <w:rPr>
          <w:b/>
        </w:rPr>
      </w:pPr>
      <w:r w:rsidRPr="00D60F11">
        <w:rPr>
          <w:b/>
        </w:rPr>
        <w:t>Example Level 1</w:t>
      </w:r>
    </w:p>
    <w:p w:rsidR="007127A1" w:rsidRPr="00D60F11" w:rsidRDefault="007127A1" w:rsidP="007127A1">
      <w:pPr>
        <w:spacing w:line="480" w:lineRule="auto"/>
        <w:ind w:left="634" w:hanging="634"/>
        <w:rPr>
          <w:b/>
        </w:rPr>
      </w:pPr>
      <w:r w:rsidRPr="00D60F11">
        <w:rPr>
          <w:b/>
        </w:rPr>
        <w:t xml:space="preserve">Example Level </w:t>
      </w:r>
      <w:r w:rsidR="00D60F11">
        <w:rPr>
          <w:b/>
        </w:rPr>
        <w:t>2</w:t>
      </w:r>
    </w:p>
    <w:p w:rsidR="007127A1" w:rsidRDefault="007127A1" w:rsidP="007127A1">
      <w:pPr>
        <w:spacing w:line="480" w:lineRule="auto"/>
        <w:ind w:left="634" w:hanging="634"/>
        <w:rPr>
          <w:i/>
        </w:rPr>
      </w:pPr>
    </w:p>
    <w:p w:rsidR="007127A1" w:rsidRDefault="007127A1" w:rsidP="007127A1">
      <w:pPr>
        <w:spacing w:line="480" w:lineRule="auto"/>
        <w:ind w:left="634" w:hanging="634"/>
      </w:pPr>
      <w:r>
        <w:t>Headings: For three levels, use 1,</w:t>
      </w:r>
      <w:r w:rsidR="00AB2BF0">
        <w:t xml:space="preserve"> 2, 3</w:t>
      </w:r>
    </w:p>
    <w:p w:rsidR="007127A1" w:rsidRPr="00D60F11" w:rsidRDefault="007127A1" w:rsidP="007127A1">
      <w:pPr>
        <w:spacing w:line="480" w:lineRule="auto"/>
        <w:ind w:left="634" w:hanging="634"/>
        <w:jc w:val="center"/>
        <w:rPr>
          <w:b/>
        </w:rPr>
      </w:pPr>
      <w:r w:rsidRPr="00D60F11">
        <w:rPr>
          <w:b/>
        </w:rPr>
        <w:t>Example Level 1</w:t>
      </w:r>
    </w:p>
    <w:p w:rsidR="007127A1" w:rsidRPr="00D60F11" w:rsidRDefault="007127A1" w:rsidP="007127A1">
      <w:pPr>
        <w:spacing w:line="480" w:lineRule="auto"/>
        <w:ind w:left="634" w:hanging="634"/>
        <w:rPr>
          <w:b/>
        </w:rPr>
      </w:pPr>
      <w:r w:rsidRPr="00D60F11">
        <w:rPr>
          <w:b/>
        </w:rPr>
        <w:t xml:space="preserve">Example Level </w:t>
      </w:r>
      <w:r w:rsidR="00D60F11">
        <w:rPr>
          <w:b/>
        </w:rPr>
        <w:t>2</w:t>
      </w:r>
    </w:p>
    <w:p w:rsidR="007127A1" w:rsidRDefault="007127A1" w:rsidP="007127A1">
      <w:pPr>
        <w:spacing w:line="480" w:lineRule="auto"/>
        <w:ind w:left="634" w:hanging="634"/>
        <w:rPr>
          <w:b/>
        </w:rPr>
      </w:pPr>
      <w:r>
        <w:tab/>
      </w:r>
      <w:r w:rsidRPr="00D60F11">
        <w:rPr>
          <w:b/>
        </w:rPr>
        <w:t xml:space="preserve">Example </w:t>
      </w:r>
      <w:r w:rsidR="00D60F11" w:rsidRPr="00D60F11">
        <w:rPr>
          <w:b/>
        </w:rPr>
        <w:t>l</w:t>
      </w:r>
      <w:r w:rsidRPr="00D60F11">
        <w:rPr>
          <w:b/>
        </w:rPr>
        <w:t xml:space="preserve">evel </w:t>
      </w:r>
      <w:r w:rsidR="00D60F11" w:rsidRPr="00D60F11">
        <w:rPr>
          <w:b/>
        </w:rPr>
        <w:t>3</w:t>
      </w:r>
      <w:r w:rsidR="00D60F11">
        <w:rPr>
          <w:b/>
        </w:rPr>
        <w:t>.</w:t>
      </w: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Pr="007C3CFC" w:rsidRDefault="007C3CFC" w:rsidP="007127A1">
      <w:pPr>
        <w:spacing w:line="480" w:lineRule="auto"/>
        <w:ind w:left="634" w:hanging="634"/>
        <w:rPr>
          <w:i/>
        </w:rPr>
      </w:pPr>
      <w:r>
        <w:rPr>
          <w:b/>
        </w:rPr>
        <w:t xml:space="preserve">Reference page examples include: </w:t>
      </w:r>
      <w:r w:rsidRPr="007C3CFC">
        <w:t>print book, edited book, electronic book, print journal, electronic journal retrieved from web site, electronic journal with doi</w:t>
      </w:r>
      <w:r w:rsidR="003E3143">
        <w:t xml:space="preserve"> (including new 2012 doi configuration)</w:t>
      </w:r>
      <w:r w:rsidRPr="007C3CFC">
        <w:t xml:space="preserve">, </w:t>
      </w:r>
      <w:r w:rsidR="00D47990">
        <w:t xml:space="preserve">and a </w:t>
      </w:r>
      <w:r>
        <w:t>government document retrieved from web site,</w:t>
      </w:r>
    </w:p>
    <w:p w:rsidR="007127A1" w:rsidRDefault="007127A1" w:rsidP="007127A1">
      <w:pPr>
        <w:spacing w:line="480" w:lineRule="auto"/>
        <w:ind w:left="634" w:hanging="634"/>
        <w:rPr>
          <w:i/>
        </w:rPr>
      </w:pPr>
    </w:p>
    <w:p w:rsidR="007127A1" w:rsidRDefault="007127A1">
      <w:r>
        <w:br w:type="page"/>
      </w:r>
    </w:p>
    <w:p w:rsidR="007127A1" w:rsidRPr="00E75973" w:rsidRDefault="007127A1" w:rsidP="007127A1">
      <w:pPr>
        <w:spacing w:line="480" w:lineRule="auto"/>
        <w:ind w:left="634" w:hanging="634"/>
        <w:jc w:val="center"/>
      </w:pPr>
      <w:r w:rsidRPr="00E75973">
        <w:t>References</w:t>
      </w:r>
    </w:p>
    <w:p w:rsidR="00E31161" w:rsidRDefault="00E31161" w:rsidP="00754224">
      <w:pPr>
        <w:pStyle w:val="hang"/>
        <w:spacing w:before="0" w:beforeAutospacing="0" w:after="0" w:afterAutospacing="0" w:line="480" w:lineRule="auto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Alibali, M. W. (1999). How children change their minds: Strategy change can be gradual or abrupt. </w:t>
      </w:r>
      <w:r>
        <w:rPr>
          <w:rFonts w:ascii="Times" w:hAnsi="Times" w:cs="Times"/>
          <w:i/>
          <w:iCs/>
        </w:rPr>
        <w:t>Developmental Psychology 35,</w:t>
      </w:r>
      <w:r>
        <w:rPr>
          <w:rFonts w:ascii="Times" w:hAnsi="Times" w:cs="Times"/>
        </w:rPr>
        <w:t xml:space="preserve"> 127-145.</w:t>
      </w:r>
    </w:p>
    <w:p w:rsidR="00E31161" w:rsidRDefault="00E31161" w:rsidP="00754224">
      <w:pPr>
        <w:pStyle w:val="hang"/>
        <w:spacing w:before="0" w:beforeAutospacing="0" w:after="0" w:afterAutospacing="0" w:line="480" w:lineRule="auto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Alibali, M. W. (2005). Mechanisms of change in the development of mathematical reasoning. In R. V. Kail (Ed.), </w:t>
      </w:r>
      <w:r>
        <w:rPr>
          <w:rFonts w:ascii="Times" w:hAnsi="Times" w:cs="Times"/>
          <w:i/>
          <w:iCs/>
        </w:rPr>
        <w:t>Advances in child development and behavior</w:t>
      </w:r>
      <w:r>
        <w:rPr>
          <w:rFonts w:ascii="Times" w:hAnsi="Times" w:cs="Times"/>
        </w:rPr>
        <w:t xml:space="preserve"> (pp. 79-123). New York: Academic Press.</w:t>
      </w:r>
    </w:p>
    <w:p w:rsidR="00E31161" w:rsidRDefault="00E31161" w:rsidP="00754224">
      <w:pPr>
        <w:pStyle w:val="hang"/>
        <w:spacing w:before="0" w:beforeAutospacing="0" w:after="0" w:afterAutospacing="0" w:line="480" w:lineRule="auto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Baxter, C. (1997). </w:t>
      </w:r>
      <w:r>
        <w:rPr>
          <w:rFonts w:ascii="Times" w:hAnsi="Times" w:cs="Times"/>
          <w:i/>
          <w:iCs/>
        </w:rPr>
        <w:t>Race equality in health care and education.</w:t>
      </w:r>
      <w:r>
        <w:rPr>
          <w:rFonts w:ascii="Times" w:hAnsi="Times" w:cs="Times"/>
        </w:rPr>
        <w:t xml:space="preserve"> Philadelphia: Ballière Tindall.</w:t>
      </w:r>
    </w:p>
    <w:p w:rsidR="00E31161" w:rsidRDefault="00E31161" w:rsidP="00754224">
      <w:pPr>
        <w:pStyle w:val="hang"/>
        <w:spacing w:before="0" w:beforeAutospacing="0" w:after="0" w:afterAutospacing="0" w:line="480" w:lineRule="auto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Carter, S., &amp; Dunbar-Odom, D. (2009). The converging literacies center: An integrated model for writing programs. </w:t>
      </w:r>
      <w:r>
        <w:rPr>
          <w:rFonts w:ascii="Times" w:hAnsi="Times" w:cs="Times"/>
          <w:i/>
          <w:iCs/>
        </w:rPr>
        <w:t>Kairos: A Journal of Rhetoric, Technology, and Pedagogy, 14.1</w:t>
      </w:r>
      <w:r>
        <w:rPr>
          <w:rFonts w:ascii="Times" w:hAnsi="Times" w:cs="Times"/>
        </w:rPr>
        <w:t>. Retrieved from http://kairos.technorhetoric.net/</w:t>
      </w:r>
    </w:p>
    <w:p w:rsidR="00E31161" w:rsidRDefault="00E31161" w:rsidP="00754224">
      <w:pPr>
        <w:pStyle w:val="hang"/>
        <w:spacing w:before="0" w:beforeAutospacing="0" w:after="0" w:afterAutospacing="0" w:line="480" w:lineRule="auto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Hamilton, R. J., &amp; Bowers, B. (2007). The theory of genetic vulnerability: A Roy model exemplar. </w:t>
      </w:r>
      <w:r>
        <w:rPr>
          <w:rFonts w:ascii="Times" w:hAnsi="Times" w:cs="Times"/>
          <w:i/>
          <w:iCs/>
        </w:rPr>
        <w:t>Nursing Science Quarterly, 20,</w:t>
      </w:r>
      <w:r>
        <w:rPr>
          <w:rFonts w:ascii="Times" w:hAnsi="Times" w:cs="Times"/>
        </w:rPr>
        <w:t xml:space="preserve"> 254-264. doi: 10.1177/0894318407303127</w:t>
      </w:r>
    </w:p>
    <w:p w:rsidR="003E3143" w:rsidRDefault="00D614C0" w:rsidP="003E3143">
      <w:pPr>
        <w:pStyle w:val="hang"/>
        <w:spacing w:before="0" w:beforeAutospacing="0" w:after="0" w:afterAutospacing="0" w:line="480" w:lineRule="auto"/>
        <w:ind w:left="720" w:hanging="72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663575</wp:posOffset>
                </wp:positionV>
                <wp:extent cx="495300" cy="2895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43" w:rsidRPr="00B17080" w:rsidRDefault="003E3143" w:rsidP="00B170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</w:rPr>
                            </w:pPr>
                            <w:r w:rsidRPr="00B17080">
                              <w:rPr>
                                <w:color w:val="FF0000"/>
                              </w:rPr>
                              <w:t xml:space="preserve">New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pt;margin-top:52.25pt;width:39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" filled="f" fillcolor="#f79646" stroked="f" strokecolor="#f2f2f2" strokeweight="3pt">
                <v:textbox>
                  <w:txbxContent>
                    <w:p w:rsidR="003E3143" w:rsidRPr="00B17080" w:rsidRDefault="003E3143" w:rsidP="00B170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</w:rPr>
                      </w:pPr>
                      <w:r w:rsidRPr="00B17080">
                        <w:rPr>
                          <w:color w:val="FF0000"/>
                        </w:rPr>
                        <w:t xml:space="preserve">New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785495</wp:posOffset>
                </wp:positionV>
                <wp:extent cx="396240" cy="76200"/>
                <wp:effectExtent l="9525" t="60960" r="3238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E4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61.85pt;width:31.2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8sPAIAAGo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">
                <v:stroke endarrow="block"/>
              </v:shape>
            </w:pict>
          </mc:Fallback>
        </mc:AlternateContent>
      </w:r>
      <w:r w:rsidR="003E3143">
        <w:rPr>
          <w:rFonts w:ascii="Times" w:hAnsi="Times" w:cs="Times"/>
        </w:rPr>
        <w:t xml:space="preserve">Hamilton, R. J., &amp; Bowers, B. (2007). The theory of genetic vulnerability: A Roy model exemplar. </w:t>
      </w:r>
      <w:r w:rsidR="003E3143">
        <w:rPr>
          <w:rFonts w:ascii="Times" w:hAnsi="Times" w:cs="Times"/>
          <w:i/>
          <w:iCs/>
        </w:rPr>
        <w:t>Nursing Science Quarterly, 20,</w:t>
      </w:r>
      <w:r w:rsidR="003E3143">
        <w:rPr>
          <w:rFonts w:ascii="Times" w:hAnsi="Times" w:cs="Times"/>
        </w:rPr>
        <w:t xml:space="preserve"> 254-264. </w:t>
      </w:r>
      <w:hyperlink r:id="rId7" w:history="1">
        <w:r w:rsidR="00374D04" w:rsidRPr="00382195">
          <w:rPr>
            <w:rStyle w:val="Hyperlink"/>
            <w:rFonts w:ascii="Times" w:hAnsi="Times" w:cs="Times"/>
          </w:rPr>
          <w:t>http://dx.doi.org/10.1177/0894318407303127</w:t>
        </w:r>
      </w:hyperlink>
    </w:p>
    <w:p w:rsidR="007127A1" w:rsidRDefault="00E31161" w:rsidP="00754224">
      <w:pPr>
        <w:spacing w:line="480" w:lineRule="auto"/>
        <w:ind w:left="720" w:hanging="720"/>
        <w:rPr>
          <w:rFonts w:ascii="Times" w:eastAsia="Times New Roman" w:hAnsi="Times" w:cs="Times"/>
          <w:szCs w:val="24"/>
        </w:rPr>
      </w:pPr>
      <w:r w:rsidRPr="00E31161">
        <w:rPr>
          <w:rFonts w:ascii="Times" w:eastAsia="Times New Roman" w:hAnsi="Times" w:cs="Times"/>
          <w:szCs w:val="24"/>
        </w:rPr>
        <w:t xml:space="preserve">National Institute of Mental Health. (2009). </w:t>
      </w:r>
      <w:r w:rsidRPr="00E31161">
        <w:rPr>
          <w:rFonts w:ascii="Times" w:eastAsia="Times New Roman" w:hAnsi="Times" w:cs="Times"/>
          <w:i/>
          <w:iCs/>
          <w:szCs w:val="24"/>
        </w:rPr>
        <w:t>Anxiety disorders</w:t>
      </w:r>
      <w:r w:rsidRPr="00E31161">
        <w:rPr>
          <w:rFonts w:ascii="Times" w:eastAsia="Times New Roman" w:hAnsi="Times" w:cs="Times"/>
          <w:szCs w:val="24"/>
        </w:rPr>
        <w:t xml:space="preserve"> (NIH Publication No. 09-3879). Retrieved from </w:t>
      </w:r>
      <w:hyperlink r:id="rId8" w:history="1">
        <w:r w:rsidR="0059677E" w:rsidRPr="00382195">
          <w:rPr>
            <w:rStyle w:val="Hyperlink"/>
            <w:rFonts w:ascii="Times" w:eastAsia="Times New Roman" w:hAnsi="Times" w:cs="Times"/>
            <w:szCs w:val="24"/>
          </w:rPr>
          <w:t>http://www.nimh.nih.gov/health/publications/anxiety-disorders/nimhanxiety.pdf</w:t>
        </w:r>
      </w:hyperlink>
    </w:p>
    <w:p w:rsidR="0059677E" w:rsidRDefault="00D614C0" w:rsidP="00754224">
      <w:pPr>
        <w:spacing w:line="480" w:lineRule="auto"/>
        <w:ind w:left="720" w:hanging="720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572135</wp:posOffset>
                </wp:positionV>
                <wp:extent cx="541020" cy="289560"/>
                <wp:effectExtent l="13335" t="7620" r="762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BC" w:rsidRPr="002C5DBC" w:rsidRDefault="002C5DB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C5DBC">
                              <w:rPr>
                                <w:b/>
                                <w:color w:val="FF0000"/>
                              </w:rPr>
                              <w:t>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3.8pt;margin-top:45.05pt;width:42.6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">
                <v:textbox>
                  <w:txbxContent>
                    <w:p w:rsidR="002C5DBC" w:rsidRPr="002C5DBC" w:rsidRDefault="002C5DBC">
                      <w:pPr>
                        <w:rPr>
                          <w:b/>
                          <w:color w:val="FF0000"/>
                        </w:rPr>
                      </w:pPr>
                      <w:r w:rsidRPr="002C5DBC">
                        <w:rPr>
                          <w:b/>
                          <w:color w:val="FF0000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229235</wp:posOffset>
                </wp:positionV>
                <wp:extent cx="396240" cy="342900"/>
                <wp:effectExtent l="13335" t="55245" r="476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2312" id="AutoShape 5" o:spid="_x0000_s1026" type="#_x0000_t32" style="position:absolute;margin-left:292.8pt;margin-top:18.05pt;width:31.2pt;height:2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EKPgIAAGs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59677E">
        <w:rPr>
          <w:rFonts w:ascii="Times" w:eastAsia="Times New Roman" w:hAnsi="Times" w:cs="Times"/>
          <w:szCs w:val="24"/>
        </w:rPr>
        <w:t xml:space="preserve">Nieswiadomy, R. M. (2011). </w:t>
      </w:r>
      <w:r w:rsidR="0059677E" w:rsidRPr="0059677E">
        <w:rPr>
          <w:rFonts w:ascii="Times" w:eastAsia="Times New Roman" w:hAnsi="Times" w:cs="Times"/>
          <w:i/>
          <w:szCs w:val="24"/>
        </w:rPr>
        <w:t>Foundations of nursing research</w:t>
      </w:r>
      <w:r w:rsidR="0059677E">
        <w:rPr>
          <w:rFonts w:ascii="Times" w:eastAsia="Times New Roman" w:hAnsi="Times" w:cs="Times"/>
          <w:szCs w:val="24"/>
        </w:rPr>
        <w:t xml:space="preserve"> [Kindle version]. Retrieved from </w:t>
      </w:r>
      <w:hyperlink r:id="rId9" w:history="1">
        <w:r w:rsidR="00B17080" w:rsidRPr="00382195">
          <w:rPr>
            <w:rStyle w:val="Hyperlink"/>
            <w:rFonts w:ascii="Times" w:eastAsia="Times New Roman" w:hAnsi="Times" w:cs="Times"/>
            <w:szCs w:val="24"/>
          </w:rPr>
          <w:t>http://www.amazon.com</w:t>
        </w:r>
      </w:hyperlink>
    </w:p>
    <w:p w:rsidR="00B17080" w:rsidRDefault="00B17080" w:rsidP="00754224">
      <w:pPr>
        <w:spacing w:line="480" w:lineRule="auto"/>
        <w:ind w:left="720" w:hanging="720"/>
        <w:rPr>
          <w:rFonts w:ascii="Times" w:eastAsia="Times New Roman" w:hAnsi="Times" w:cs="Times"/>
          <w:szCs w:val="24"/>
        </w:rPr>
      </w:pPr>
    </w:p>
    <w:p w:rsidR="0059677E" w:rsidRPr="007127A1" w:rsidRDefault="0059677E" w:rsidP="00754224">
      <w:pPr>
        <w:spacing w:line="480" w:lineRule="auto"/>
        <w:ind w:left="720" w:hanging="720"/>
      </w:pPr>
    </w:p>
    <w:sectPr w:rsidR="0059677E" w:rsidRPr="007127A1" w:rsidSect="00AB2BF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BC" w:rsidRDefault="000044BC" w:rsidP="00B34C23">
      <w:r>
        <w:separator/>
      </w:r>
    </w:p>
  </w:endnote>
  <w:endnote w:type="continuationSeparator" w:id="0">
    <w:p w:rsidR="000044BC" w:rsidRDefault="000044BC" w:rsidP="00B3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BC" w:rsidRDefault="000044BC" w:rsidP="00B34C23">
      <w:r>
        <w:separator/>
      </w:r>
    </w:p>
  </w:footnote>
  <w:footnote w:type="continuationSeparator" w:id="0">
    <w:p w:rsidR="000044BC" w:rsidRDefault="000044BC" w:rsidP="00B3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7E" w:rsidRDefault="009A2C65">
    <w:pPr>
      <w:pStyle w:val="Header"/>
      <w:jc w:val="right"/>
    </w:pPr>
    <w:r>
      <w:t>TITLE OF PAPER</w:t>
    </w:r>
    <w:r>
      <w:tab/>
    </w:r>
    <w:r>
      <w:tab/>
    </w:r>
    <w:r w:rsidR="0059677E">
      <w:fldChar w:fldCharType="begin"/>
    </w:r>
    <w:r w:rsidR="0059677E">
      <w:instrText xml:space="preserve"> PAGE   \* MERGEFORMAT </w:instrText>
    </w:r>
    <w:r w:rsidR="0059677E">
      <w:fldChar w:fldCharType="separate"/>
    </w:r>
    <w:r w:rsidR="00D614C0">
      <w:rPr>
        <w:noProof/>
      </w:rPr>
      <w:t>2</w:t>
    </w:r>
    <w:r w:rsidR="0059677E">
      <w:fldChar w:fldCharType="end"/>
    </w:r>
  </w:p>
  <w:p w:rsidR="0059677E" w:rsidRDefault="0059677E" w:rsidP="00B34C2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7E" w:rsidRDefault="0059677E">
    <w:pPr>
      <w:pStyle w:val="Header"/>
      <w:jc w:val="right"/>
    </w:pPr>
    <w:r>
      <w:t xml:space="preserve"> Running head: </w:t>
    </w:r>
    <w:r w:rsidR="009A2C65">
      <w:t>TITLE OF PAPER</w:t>
    </w:r>
    <w:r w:rsidR="009A2C65">
      <w:tab/>
    </w:r>
    <w:r w:rsidR="009A2C65">
      <w:tab/>
    </w:r>
    <w:r>
      <w:fldChar w:fldCharType="begin"/>
    </w:r>
    <w:r>
      <w:instrText xml:space="preserve"> PAGE   \* MERGEFORMAT </w:instrText>
    </w:r>
    <w:r>
      <w:fldChar w:fldCharType="separate"/>
    </w:r>
    <w:r w:rsidR="00D614C0">
      <w:rPr>
        <w:noProof/>
      </w:rPr>
      <w:t>1</w:t>
    </w:r>
    <w:r>
      <w:fldChar w:fldCharType="end"/>
    </w:r>
  </w:p>
  <w:p w:rsidR="0059677E" w:rsidRDefault="00596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CB"/>
    <w:rsid w:val="000044BC"/>
    <w:rsid w:val="00022CA5"/>
    <w:rsid w:val="00082F0E"/>
    <w:rsid w:val="000E04C3"/>
    <w:rsid w:val="000E0829"/>
    <w:rsid w:val="0019688E"/>
    <w:rsid w:val="00201201"/>
    <w:rsid w:val="002030BE"/>
    <w:rsid w:val="002364C2"/>
    <w:rsid w:val="00245FA4"/>
    <w:rsid w:val="002A152D"/>
    <w:rsid w:val="002C5DBC"/>
    <w:rsid w:val="00371809"/>
    <w:rsid w:val="00374D04"/>
    <w:rsid w:val="00386809"/>
    <w:rsid w:val="003B211E"/>
    <w:rsid w:val="003C1678"/>
    <w:rsid w:val="003E3143"/>
    <w:rsid w:val="003E78E0"/>
    <w:rsid w:val="00405330"/>
    <w:rsid w:val="00480717"/>
    <w:rsid w:val="00574CBA"/>
    <w:rsid w:val="0059677E"/>
    <w:rsid w:val="006333AD"/>
    <w:rsid w:val="00655E07"/>
    <w:rsid w:val="0071087F"/>
    <w:rsid w:val="007127A1"/>
    <w:rsid w:val="00716147"/>
    <w:rsid w:val="0072065B"/>
    <w:rsid w:val="00754224"/>
    <w:rsid w:val="007C3CFC"/>
    <w:rsid w:val="0082110A"/>
    <w:rsid w:val="008B0FB6"/>
    <w:rsid w:val="00917D86"/>
    <w:rsid w:val="009A24A1"/>
    <w:rsid w:val="009A2C65"/>
    <w:rsid w:val="009A7357"/>
    <w:rsid w:val="009E506F"/>
    <w:rsid w:val="00A16313"/>
    <w:rsid w:val="00AA1763"/>
    <w:rsid w:val="00AA2D14"/>
    <w:rsid w:val="00AA6284"/>
    <w:rsid w:val="00AB2BF0"/>
    <w:rsid w:val="00AB4E6E"/>
    <w:rsid w:val="00B17080"/>
    <w:rsid w:val="00B34C23"/>
    <w:rsid w:val="00B3605F"/>
    <w:rsid w:val="00B53FF1"/>
    <w:rsid w:val="00B869C5"/>
    <w:rsid w:val="00BC0BBA"/>
    <w:rsid w:val="00C36F59"/>
    <w:rsid w:val="00C45953"/>
    <w:rsid w:val="00CD69CB"/>
    <w:rsid w:val="00CE3F5A"/>
    <w:rsid w:val="00D23899"/>
    <w:rsid w:val="00D416B4"/>
    <w:rsid w:val="00D47990"/>
    <w:rsid w:val="00D60F11"/>
    <w:rsid w:val="00D614C0"/>
    <w:rsid w:val="00DA0819"/>
    <w:rsid w:val="00DA67C4"/>
    <w:rsid w:val="00DD43CF"/>
    <w:rsid w:val="00DE69A5"/>
    <w:rsid w:val="00E015B2"/>
    <w:rsid w:val="00E31161"/>
    <w:rsid w:val="00E75973"/>
    <w:rsid w:val="00F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shapeDefaults>
  <w:decimalSymbol w:val="."/>
  <w:listSeparator w:val=","/>
  <w15:chartTrackingRefBased/>
  <w15:docId w15:val="{305F69B8-F89B-4C02-9066-B2AFF612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5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23"/>
  </w:style>
  <w:style w:type="paragraph" w:styleId="Footer">
    <w:name w:val="footer"/>
    <w:basedOn w:val="Normal"/>
    <w:link w:val="FooterChar"/>
    <w:uiPriority w:val="99"/>
    <w:unhideWhenUsed/>
    <w:rsid w:val="00B3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23"/>
  </w:style>
  <w:style w:type="paragraph" w:styleId="BalloonText">
    <w:name w:val="Balloon Text"/>
    <w:basedOn w:val="Normal"/>
    <w:link w:val="BalloonTextChar"/>
    <w:uiPriority w:val="99"/>
    <w:semiHidden/>
    <w:unhideWhenUsed/>
    <w:rsid w:val="00B3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C23"/>
    <w:rPr>
      <w:rFonts w:ascii="Tahoma" w:hAnsi="Tahoma" w:cs="Tahoma"/>
      <w:sz w:val="16"/>
      <w:szCs w:val="16"/>
    </w:rPr>
  </w:style>
  <w:style w:type="paragraph" w:customStyle="1" w:styleId="hang">
    <w:name w:val="hang"/>
    <w:basedOn w:val="Normal"/>
    <w:rsid w:val="000E0829"/>
    <w:pPr>
      <w:spacing w:before="100" w:beforeAutospacing="1" w:after="100" w:afterAutospacing="1"/>
      <w:ind w:hanging="225"/>
    </w:pPr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59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h.nih.gov/health/publications/anxiety-disorders/nimhanxiet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177/08943184073031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etrichj\Local%20Settings\Temporary%20Internet%20Files\Content.Outlook\XYGPQQKD\APA%20Template%206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B6B8-8CAC-41A2-ADCE-B982F1F9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</Template>
  <TotalTime>1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Blessing-Rieman College of Nursing</Company>
  <LinksUpToDate>false</LinksUpToDate>
  <CharactersWithSpaces>2331</CharactersWithSpaces>
  <SharedDoc>false</SharedDoc>
  <HLinks>
    <vt:vector size="18" baseType="variant"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http://www.nimh.nih.gov/health/publications/anxiety-disorders/nimhanxiety.pdf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http://dx.doi.org/10.1177/0894318407303127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Dietrich</dc:creator>
  <cp:keywords/>
  <cp:lastModifiedBy>Dietrich, Julie</cp:lastModifiedBy>
  <cp:revision>2</cp:revision>
  <cp:lastPrinted>2012-07-31T15:37:00Z</cp:lastPrinted>
  <dcterms:created xsi:type="dcterms:W3CDTF">2018-01-03T21:43:00Z</dcterms:created>
  <dcterms:modified xsi:type="dcterms:W3CDTF">2018-01-03T21:43:00Z</dcterms:modified>
</cp:coreProperties>
</file>